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Jacobs</w:t>
      </w:r>
      <w:r>
        <w:rPr>
          <w:vertAlign w:val="superscript"/>
        </w:rPr>
        <w:t xml:space="preserve">4</w:t>
      </w:r>
      <w:r>
        <w:t xml:space="preserve">,</w:t>
      </w:r>
      <w:r>
        <w:t xml:space="preserve"> </w:t>
      </w:r>
      <w:r>
        <w:t xml:space="preserve">Stephen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the control agent is established, but this depends on its ability to adapt to evolution in the host.</w:t>
      </w:r>
      <w:r>
        <w:t xml:space="preserve"> </w:t>
      </w:r>
      <w:r>
        <w:t xml:space="preserve">Theoretical studies have shown that unequal genetic variation between the host and the control agent will lead to rapid evolution of resistance in the host, but cases of this have not been documented in the field.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then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Molecular evolution</w:t>
      </w:r>
      <w:r>
        <w:br/>
      </w:r>
      <w:r>
        <w:t xml:space="preserve">Argentine stem weevil</w:t>
      </w:r>
      <w:r>
        <w:br/>
      </w:r>
      <w:r>
        <w:t xml:space="preserve">Population genetics</w:t>
      </w:r>
      <w:r>
        <w:br/>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w:t>
      </w:r>
      <w:r>
        <w:t xml:space="preserve"> </w:t>
      </w:r>
      <w:r>
        <w:t xml:space="preserve">[9,10]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locations are also illustrated in Figure 1.</w:t>
      </w:r>
      <w:r>
        <w:t xml:space="preserve"> </w:t>
      </w:r>
      <w:r>
        <w:t xml:space="preserve">The map was plotted with the ggmap package for ggplot2</w:t>
      </w:r>
      <w:r>
        <w:t xml:space="preserve"> </w:t>
      </w:r>
      <w:r>
        <w:t xml:space="preserve">[23]</w:t>
      </w:r>
      <w:r>
        <w:t xml:space="preserve"> </w:t>
      </w:r>
      <w:r>
        <w:t xml:space="preserve">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t>
      </w:r>
      <w:r>
        <w:t xml:space="preserve">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 million simulations and 60 optimisation cycles per run [46]. Runs that ended with a non-finite delta likehood after 1M simulations are shown with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[46]</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suggest that migration is low or absent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 and 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1).</w:t>
      </w:r>
    </w:p>
    <w:p>
      <w:pPr>
        <w:pStyle w:val="Heading3"/>
      </w:pPr>
      <w:bookmarkStart w:id="53" w:name="conclusion"/>
      <w:r>
        <w:t xml:space="preserve">Conclusion</w:t>
      </w:r>
      <w:bookmarkEnd w:id="53"/>
    </w:p>
    <w:p>
      <w:pPr>
        <w:pStyle w:val="FirstParagraph"/>
      </w:pPr>
      <w:r>
        <w:t xml:space="preserve">Our results show that New Zealand populations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TWRH, SG, PKD;</w:t>
      </w:r>
      <w:r>
        <w:t xml:space="preserve"> </w:t>
      </w:r>
      <w:r>
        <w:t xml:space="preserve">data collection, TWRH, ST, SNI, TvS, HH,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6" w:name="acknowledgements"/>
      <w:r>
        <w:t xml:space="preserve">Acknowledgements</w:t>
      </w:r>
      <w:bookmarkEnd w:id="56"/>
    </w:p>
    <w:p>
      <w:pPr>
        <w:numPr>
          <w:ilvl w:val="0"/>
          <w:numId w:val="1001"/>
        </w:numPr>
        <w:pStyle w:val="Compact"/>
      </w:pPr>
      <w:r>
        <w:rPr>
          <w:b/>
        </w:rPr>
        <w:t xml:space="preserve">Stephen, please add your dissection crew here (or to author list)</w:t>
      </w:r>
    </w:p>
    <w:p>
      <w:pPr>
        <w:numPr>
          <w:ilvl w:val="0"/>
          <w:numId w:val="1001"/>
        </w:numPr>
        <w:pStyle w:val="Compact"/>
      </w:pPr>
      <w:r>
        <w:rPr>
          <w:b/>
        </w:rPr>
        <w:t xml:space="preserve">funding?</w:t>
      </w:r>
    </w:p>
    <w:p>
      <w:pPr>
        <w:pStyle w:val="FirstParagraph"/>
      </w:pP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8">
        <w:r>
          <w:rPr>
            <w:rStyle w:val="InternetLink"/>
          </w:rPr>
          <w:t xml:space="preserve">10.1080/00288233.2018.1478860</w:t>
        </w:r>
      </w:hyperlink>
      <w:r>
        <w:t xml:space="preserve">.</w:t>
      </w:r>
    </w:p>
    <w:bookmarkEnd w:id="69"/>
    <w:bookmarkStart w:id="71"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70">
        <w:r>
          <w:rPr>
            <w:rStyle w:val="InternetLink"/>
          </w:rPr>
          <w:t xml:space="preserve">10.1093/jisesa/ieaa018</w:t>
        </w:r>
      </w:hyperlink>
      <w:r>
        <w:t xml:space="preserve">.</w:t>
      </w:r>
    </w:p>
    <w:bookmarkEnd w:id="71"/>
    <w:bookmarkStart w:id="72" w:name="ref-barkerArgentineStemWeevil1993"/>
    <w:p>
      <w:pPr>
        <w:pStyle w:val="Bibliography"/>
      </w:pPr>
      <w:r>
        <w:t xml:space="preserve">7. Barker, G.; Addison, P.J. Argentine stem weevil populations and damage in ryegrass swards of contrasting Acremonium infection.; 1993.</w:t>
      </w:r>
    </w:p>
    <w:bookmarkEnd w:id="72"/>
    <w:bookmarkStart w:id="73" w:name="ref-prestidgeEconomicCostArgentine1991"/>
    <w:p>
      <w:pPr>
        <w:pStyle w:val="Bibliography"/>
      </w:pPr>
      <w:r>
        <w:t xml:space="preserve">8. Prestidge, R.; Barker, G.; Pottinger, R. The economic cost of Argentine stem weevil in pastures in New Zealand.; 1991; Vol. 44, pp. 165–170.</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Koten, C. van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68"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70"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68"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70"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2020-06-02T01:24:10Z</dcterms:created>
  <dcterms:modified xsi:type="dcterms:W3CDTF">2020-06-02T01:24:10Z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